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9FA5B" w14:textId="58BE5FD0" w:rsidR="003D555A" w:rsidRDefault="00670558" w:rsidP="00670558">
      <w:pPr>
        <w:jc w:val="center"/>
        <w:rPr>
          <w:rFonts w:ascii="Cambria" w:eastAsia="Verdana" w:hAnsi="Cambria" w:cs="Verdana"/>
          <w:b/>
          <w:bCs/>
          <w:color w:val="000000" w:themeColor="text1"/>
          <w:sz w:val="40"/>
          <w:szCs w:val="40"/>
        </w:rPr>
      </w:pPr>
      <w:r>
        <w:rPr>
          <w:rFonts w:ascii="Cambria" w:eastAsia="Verdana" w:hAnsi="Cambria" w:cs="Verdana"/>
          <w:b/>
          <w:bCs/>
          <w:color w:val="000000" w:themeColor="text1"/>
          <w:sz w:val="40"/>
          <w:szCs w:val="40"/>
        </w:rPr>
        <w:t>Valido solicita</w:t>
      </w:r>
      <w:r w:rsidRPr="00670558">
        <w:rPr>
          <w:rFonts w:ascii="Cambria" w:eastAsia="Verdana" w:hAnsi="Cambria" w:cs="Verdana"/>
          <w:b/>
          <w:bCs/>
          <w:color w:val="000000" w:themeColor="text1"/>
          <w:sz w:val="40"/>
          <w:szCs w:val="40"/>
        </w:rPr>
        <w:t xml:space="preserve"> al Gobierno</w:t>
      </w:r>
      <w:r>
        <w:rPr>
          <w:rFonts w:ascii="Cambria" w:eastAsia="Verdana" w:hAnsi="Cambria" w:cs="Verdana"/>
          <w:b/>
          <w:bCs/>
          <w:color w:val="000000" w:themeColor="text1"/>
          <w:sz w:val="40"/>
          <w:szCs w:val="40"/>
        </w:rPr>
        <w:t xml:space="preserve"> de España </w:t>
      </w:r>
      <w:r w:rsidRPr="00670558">
        <w:rPr>
          <w:rFonts w:ascii="Cambria" w:eastAsia="Verdana" w:hAnsi="Cambria" w:cs="Verdana"/>
          <w:b/>
          <w:bCs/>
          <w:color w:val="000000" w:themeColor="text1"/>
          <w:sz w:val="40"/>
          <w:szCs w:val="40"/>
        </w:rPr>
        <w:t xml:space="preserve">que autorice el uso excepcional de fitosanitarios para proteger los cultivos </w:t>
      </w:r>
      <w:r>
        <w:rPr>
          <w:rFonts w:ascii="Cambria" w:eastAsia="Verdana" w:hAnsi="Cambria" w:cs="Verdana"/>
          <w:b/>
          <w:bCs/>
          <w:color w:val="000000" w:themeColor="text1"/>
          <w:sz w:val="40"/>
          <w:szCs w:val="40"/>
        </w:rPr>
        <w:t>de Canarias</w:t>
      </w:r>
    </w:p>
    <w:p w14:paraId="42C37907" w14:textId="77777777" w:rsidR="00670558" w:rsidRDefault="00670558">
      <w:pPr>
        <w:jc w:val="both"/>
        <w:rPr>
          <w:rFonts w:ascii="Cambria" w:eastAsia="Verdana" w:hAnsi="Cambria" w:cs="Verdana"/>
          <w:i/>
          <w:sz w:val="28"/>
          <w:szCs w:val="28"/>
        </w:rPr>
      </w:pPr>
    </w:p>
    <w:p w14:paraId="2AF763E7" w14:textId="5BB835C6" w:rsidR="00BB0365" w:rsidRDefault="00A02E73" w:rsidP="00BB0365">
      <w:pPr>
        <w:jc w:val="both"/>
        <w:rPr>
          <w:rFonts w:ascii="Cambria" w:eastAsia="Verdana" w:hAnsi="Cambria" w:cs="Verdana"/>
          <w:i/>
          <w:sz w:val="28"/>
          <w:szCs w:val="28"/>
        </w:rPr>
      </w:pPr>
      <w:r w:rsidRPr="00A02E73">
        <w:rPr>
          <w:rFonts w:ascii="Cambria" w:eastAsia="Verdana" w:hAnsi="Cambria" w:cs="Verdana"/>
          <w:i/>
          <w:sz w:val="28"/>
          <w:szCs w:val="28"/>
        </w:rPr>
        <w:t>Coalición Canaria registra una proposición no de ley para instar al Gobierno central a autorizar de forma excepcional y temporal el uso de fitosanitarios para combatir la mosca blanca, la cochinilla de la platanera y la cochinilla del aguacate</w:t>
      </w:r>
    </w:p>
    <w:p w14:paraId="5B2816AE" w14:textId="77777777" w:rsidR="00A02E73" w:rsidRPr="006E1902" w:rsidRDefault="00A02E73" w:rsidP="00BB0365">
      <w:pPr>
        <w:jc w:val="both"/>
        <w:rPr>
          <w:rFonts w:ascii="Cambria" w:eastAsia="Verdana" w:hAnsi="Cambria" w:cs="Verdana"/>
          <w:i/>
          <w:sz w:val="28"/>
          <w:szCs w:val="28"/>
        </w:rPr>
      </w:pPr>
    </w:p>
    <w:p w14:paraId="46F0F03A" w14:textId="55E9CE71" w:rsidR="009B7072" w:rsidRPr="0026127B" w:rsidRDefault="00D0645F" w:rsidP="00973300">
      <w:pPr>
        <w:jc w:val="both"/>
        <w:rPr>
          <w:rFonts w:ascii="Cambria" w:eastAsia="Verdana" w:hAnsi="Cambria" w:cs="Verdana"/>
          <w:b/>
          <w:sz w:val="26"/>
          <w:szCs w:val="26"/>
        </w:rPr>
      </w:pPr>
      <w:bookmarkStart w:id="0" w:name="_gg8yoz2p0my4"/>
      <w:bookmarkEnd w:id="0"/>
      <w:r>
        <w:rPr>
          <w:rFonts w:ascii="Cambria" w:eastAsia="Verdana" w:hAnsi="Cambria" w:cs="Verdana"/>
          <w:b/>
          <w:sz w:val="26"/>
          <w:szCs w:val="26"/>
        </w:rPr>
        <w:t xml:space="preserve">Madrid, </w:t>
      </w:r>
      <w:r w:rsidR="002165FE">
        <w:rPr>
          <w:rFonts w:ascii="Cambria" w:eastAsia="Verdana" w:hAnsi="Cambria" w:cs="Verdana"/>
          <w:b/>
          <w:sz w:val="26"/>
          <w:szCs w:val="26"/>
        </w:rPr>
        <w:t>1</w:t>
      </w:r>
      <w:r w:rsidR="00A02E73">
        <w:rPr>
          <w:rFonts w:ascii="Cambria" w:eastAsia="Verdana" w:hAnsi="Cambria" w:cs="Verdana"/>
          <w:b/>
          <w:sz w:val="26"/>
          <w:szCs w:val="26"/>
        </w:rPr>
        <w:t>4</w:t>
      </w:r>
      <w:r w:rsidR="006B64B8">
        <w:rPr>
          <w:rFonts w:ascii="Cambria" w:eastAsia="Verdana" w:hAnsi="Cambria" w:cs="Verdana"/>
          <w:b/>
          <w:sz w:val="26"/>
          <w:szCs w:val="26"/>
        </w:rPr>
        <w:t xml:space="preserve"> </w:t>
      </w:r>
      <w:r>
        <w:rPr>
          <w:rFonts w:ascii="Cambria" w:eastAsia="Verdana" w:hAnsi="Cambria" w:cs="Verdana"/>
          <w:b/>
          <w:sz w:val="26"/>
          <w:szCs w:val="26"/>
        </w:rPr>
        <w:t xml:space="preserve">de </w:t>
      </w:r>
      <w:r w:rsidR="00DB4533">
        <w:rPr>
          <w:rFonts w:ascii="Cambria" w:eastAsia="Verdana" w:hAnsi="Cambria" w:cs="Verdana"/>
          <w:b/>
          <w:sz w:val="26"/>
          <w:szCs w:val="26"/>
        </w:rPr>
        <w:t>mayo</w:t>
      </w:r>
      <w:r>
        <w:rPr>
          <w:rFonts w:ascii="Cambria" w:eastAsia="Verdana" w:hAnsi="Cambria" w:cs="Verdana"/>
          <w:b/>
          <w:sz w:val="26"/>
          <w:szCs w:val="26"/>
        </w:rPr>
        <w:t xml:space="preserve"> de </w:t>
      </w:r>
      <w:r w:rsidR="00640717">
        <w:rPr>
          <w:rFonts w:ascii="Cambria" w:eastAsia="Verdana" w:hAnsi="Cambria" w:cs="Verdana"/>
          <w:b/>
          <w:sz w:val="26"/>
          <w:szCs w:val="26"/>
        </w:rPr>
        <w:t>2026</w:t>
      </w:r>
      <w:r>
        <w:rPr>
          <w:rFonts w:ascii="Cambria" w:eastAsia="Verdana" w:hAnsi="Cambria" w:cs="Verdana"/>
          <w:b/>
          <w:sz w:val="26"/>
          <w:szCs w:val="26"/>
        </w:rPr>
        <w:t xml:space="preserve"> </w:t>
      </w:r>
    </w:p>
    <w:p w14:paraId="05BA47EF" w14:textId="77777777" w:rsidR="008E4A81" w:rsidRDefault="008E4A81" w:rsidP="005610B4">
      <w:pPr>
        <w:jc w:val="both"/>
        <w:rPr>
          <w:rFonts w:ascii="Cambria" w:eastAsia="Verdana" w:hAnsi="Cambria"/>
          <w:bCs/>
          <w:sz w:val="26"/>
          <w:szCs w:val="26"/>
        </w:rPr>
      </w:pPr>
    </w:p>
    <w:p w14:paraId="63084589" w14:textId="77777777" w:rsidR="008861DC" w:rsidRDefault="008861DC" w:rsidP="008861DC">
      <w:pPr>
        <w:jc w:val="both"/>
        <w:rPr>
          <w:rFonts w:ascii="Cambria" w:eastAsia="Verdana" w:hAnsi="Cambria"/>
          <w:bCs/>
          <w:color w:val="000000" w:themeColor="text1"/>
          <w:sz w:val="26"/>
          <w:szCs w:val="26"/>
        </w:rPr>
      </w:pPr>
      <w:r w:rsidRPr="00F97D75">
        <w:rPr>
          <w:rFonts w:ascii="Cambria" w:eastAsia="Verdana" w:hAnsi="Cambria"/>
          <w:bCs/>
          <w:color w:val="000000" w:themeColor="text1"/>
          <w:sz w:val="26"/>
          <w:szCs w:val="26"/>
        </w:rPr>
        <w:t>La portavoz de Coalición Canaria en el Congreso de los Diputados, Cristina Valido, ha registrado en la Comisión de Agricultura, Pesca y Alimentación una proposición no de ley (PNL) para instar al Gobierno de España a autorizar, con carácter excepcional, el uso de fitosanitarios frente a las distintas plagas que asolan los cultivos canarios. Asimismo, la iniciativa reclama reforzar las medidas de control que garanticen el cumplimiento de la normativa fitosanitaria vigente y eviten la entrada ilegal de productos agrícolas en el archipiélago.</w:t>
      </w:r>
    </w:p>
    <w:p w14:paraId="4F609646" w14:textId="77777777" w:rsidR="008861DC" w:rsidRPr="00F97D75" w:rsidRDefault="008861DC" w:rsidP="008861DC">
      <w:pPr>
        <w:jc w:val="both"/>
        <w:rPr>
          <w:rFonts w:ascii="Cambria" w:eastAsia="Verdana" w:hAnsi="Cambria"/>
          <w:bCs/>
          <w:color w:val="000000" w:themeColor="text1"/>
          <w:sz w:val="26"/>
          <w:szCs w:val="26"/>
        </w:rPr>
      </w:pPr>
    </w:p>
    <w:p w14:paraId="4771DEC9" w14:textId="77777777" w:rsidR="008861DC" w:rsidRPr="00F97D75" w:rsidRDefault="008861DC" w:rsidP="008861DC">
      <w:pPr>
        <w:jc w:val="both"/>
        <w:rPr>
          <w:rFonts w:ascii="Cambria" w:eastAsia="Verdana" w:hAnsi="Cambria"/>
          <w:bCs/>
          <w:color w:val="000000" w:themeColor="text1"/>
          <w:sz w:val="26"/>
          <w:szCs w:val="26"/>
        </w:rPr>
      </w:pPr>
      <w:r w:rsidRPr="00F97D75">
        <w:rPr>
          <w:rFonts w:ascii="Cambria" w:eastAsia="Verdana" w:hAnsi="Cambria"/>
          <w:bCs/>
          <w:color w:val="000000" w:themeColor="text1"/>
          <w:sz w:val="26"/>
          <w:szCs w:val="26"/>
        </w:rPr>
        <w:t>La iniciativa de los nacionalistas canarios pone de manifiesto que la prohibición de determinados productos fitosanitarios por parte de la Unión Europea, sin que existan alternativas eficaces, está provocando un aumento descontrolado de los costes de producción y una mayor destrucción de fruta por destrío, lo que compromete la competitividad y el futuro de miles de agricultores canarios.</w:t>
      </w:r>
    </w:p>
    <w:p w14:paraId="767C9950" w14:textId="77777777" w:rsidR="008861DC" w:rsidRPr="00F97D75" w:rsidRDefault="008861DC" w:rsidP="008861DC">
      <w:pPr>
        <w:jc w:val="both"/>
        <w:rPr>
          <w:rFonts w:ascii="Cambria" w:eastAsia="Verdana" w:hAnsi="Cambria"/>
          <w:bCs/>
          <w:color w:val="000000" w:themeColor="text1"/>
          <w:sz w:val="26"/>
          <w:szCs w:val="26"/>
        </w:rPr>
      </w:pPr>
    </w:p>
    <w:p w14:paraId="2512792A" w14:textId="77777777" w:rsidR="008861DC" w:rsidRPr="00A02E73" w:rsidRDefault="008861DC" w:rsidP="008861DC">
      <w:pPr>
        <w:jc w:val="both"/>
        <w:rPr>
          <w:rFonts w:ascii="Cambria" w:eastAsia="Verdana" w:hAnsi="Cambria"/>
          <w:bCs/>
          <w:color w:val="000000" w:themeColor="text1"/>
          <w:sz w:val="26"/>
          <w:szCs w:val="26"/>
        </w:rPr>
      </w:pPr>
      <w:r w:rsidRPr="00A02E73">
        <w:rPr>
          <w:rFonts w:ascii="Cambria" w:eastAsia="Verdana" w:hAnsi="Cambria"/>
          <w:bCs/>
          <w:color w:val="000000" w:themeColor="text1"/>
          <w:sz w:val="26"/>
          <w:szCs w:val="26"/>
        </w:rPr>
        <w:t>Las plagas que generan mayor preocupación son la mosca blanca (</w:t>
      </w:r>
      <w:proofErr w:type="spellStart"/>
      <w:r w:rsidRPr="00A02E73">
        <w:rPr>
          <w:rFonts w:ascii="Cambria" w:eastAsia="Verdana" w:hAnsi="Cambria"/>
          <w:bCs/>
          <w:i/>
          <w:iCs/>
          <w:color w:val="000000" w:themeColor="text1"/>
          <w:sz w:val="26"/>
          <w:szCs w:val="26"/>
        </w:rPr>
        <w:t>Aleurodicus</w:t>
      </w:r>
      <w:proofErr w:type="spellEnd"/>
      <w:r w:rsidRPr="00A02E73">
        <w:rPr>
          <w:rFonts w:ascii="Cambria" w:eastAsia="Verdana" w:hAnsi="Cambria"/>
          <w:bCs/>
          <w:i/>
          <w:iCs/>
          <w:color w:val="000000" w:themeColor="text1"/>
          <w:sz w:val="26"/>
          <w:szCs w:val="26"/>
        </w:rPr>
        <w:t xml:space="preserve"> </w:t>
      </w:r>
      <w:proofErr w:type="spellStart"/>
      <w:r w:rsidRPr="00A02E73">
        <w:rPr>
          <w:rFonts w:ascii="Cambria" w:eastAsia="Verdana" w:hAnsi="Cambria"/>
          <w:bCs/>
          <w:i/>
          <w:iCs/>
          <w:color w:val="000000" w:themeColor="text1"/>
          <w:sz w:val="26"/>
          <w:szCs w:val="26"/>
        </w:rPr>
        <w:t>floccissimus</w:t>
      </w:r>
      <w:proofErr w:type="spellEnd"/>
      <w:r w:rsidRPr="00A02E73">
        <w:rPr>
          <w:rFonts w:ascii="Cambria" w:eastAsia="Verdana" w:hAnsi="Cambria"/>
          <w:bCs/>
          <w:color w:val="000000" w:themeColor="text1"/>
          <w:sz w:val="26"/>
          <w:szCs w:val="26"/>
        </w:rPr>
        <w:t>) y la cochinilla de la platanera (</w:t>
      </w:r>
      <w:proofErr w:type="spellStart"/>
      <w:r w:rsidRPr="00A02E73">
        <w:rPr>
          <w:rFonts w:ascii="Cambria" w:eastAsia="Verdana" w:hAnsi="Cambria"/>
          <w:bCs/>
          <w:i/>
          <w:iCs/>
          <w:color w:val="000000" w:themeColor="text1"/>
          <w:sz w:val="26"/>
          <w:szCs w:val="26"/>
        </w:rPr>
        <w:t>Dysmicoccus</w:t>
      </w:r>
      <w:proofErr w:type="spellEnd"/>
      <w:r w:rsidRPr="00A02E73">
        <w:rPr>
          <w:rFonts w:ascii="Cambria" w:eastAsia="Verdana" w:hAnsi="Cambria"/>
          <w:bCs/>
          <w:i/>
          <w:iCs/>
          <w:color w:val="000000" w:themeColor="text1"/>
          <w:sz w:val="26"/>
          <w:szCs w:val="26"/>
        </w:rPr>
        <w:t xml:space="preserve"> </w:t>
      </w:r>
      <w:proofErr w:type="spellStart"/>
      <w:r w:rsidRPr="00A02E73">
        <w:rPr>
          <w:rFonts w:ascii="Cambria" w:eastAsia="Verdana" w:hAnsi="Cambria"/>
          <w:bCs/>
          <w:i/>
          <w:iCs/>
          <w:color w:val="000000" w:themeColor="text1"/>
          <w:sz w:val="26"/>
          <w:szCs w:val="26"/>
        </w:rPr>
        <w:t>grassii</w:t>
      </w:r>
      <w:proofErr w:type="spellEnd"/>
      <w:r w:rsidRPr="00A02E73">
        <w:rPr>
          <w:rFonts w:ascii="Cambria" w:eastAsia="Verdana" w:hAnsi="Cambria"/>
          <w:bCs/>
          <w:color w:val="000000" w:themeColor="text1"/>
          <w:sz w:val="26"/>
          <w:szCs w:val="26"/>
        </w:rPr>
        <w:t>), que afectan fundamentalmente a las plataneras, así como la cochinilla del aguacate (</w:t>
      </w:r>
      <w:proofErr w:type="spellStart"/>
      <w:r w:rsidRPr="00A02E73">
        <w:rPr>
          <w:rFonts w:ascii="Cambria" w:eastAsia="Verdana" w:hAnsi="Cambria"/>
          <w:bCs/>
          <w:i/>
          <w:iCs/>
          <w:color w:val="000000" w:themeColor="text1"/>
          <w:sz w:val="26"/>
          <w:szCs w:val="26"/>
        </w:rPr>
        <w:t>Nipaecoccus</w:t>
      </w:r>
      <w:proofErr w:type="spellEnd"/>
      <w:r w:rsidRPr="00A02E73">
        <w:rPr>
          <w:rFonts w:ascii="Cambria" w:eastAsia="Verdana" w:hAnsi="Cambria"/>
          <w:bCs/>
          <w:i/>
          <w:iCs/>
          <w:color w:val="000000" w:themeColor="text1"/>
          <w:sz w:val="26"/>
          <w:szCs w:val="26"/>
        </w:rPr>
        <w:t xml:space="preserve"> </w:t>
      </w:r>
      <w:proofErr w:type="spellStart"/>
      <w:r w:rsidRPr="00A02E73">
        <w:rPr>
          <w:rFonts w:ascii="Cambria" w:eastAsia="Verdana" w:hAnsi="Cambria"/>
          <w:bCs/>
          <w:i/>
          <w:iCs/>
          <w:color w:val="000000" w:themeColor="text1"/>
          <w:sz w:val="26"/>
          <w:szCs w:val="26"/>
        </w:rPr>
        <w:t>nipae</w:t>
      </w:r>
      <w:proofErr w:type="spellEnd"/>
      <w:r w:rsidRPr="00A02E73">
        <w:rPr>
          <w:rFonts w:ascii="Cambria" w:eastAsia="Verdana" w:hAnsi="Cambria"/>
          <w:bCs/>
          <w:color w:val="000000" w:themeColor="text1"/>
          <w:sz w:val="26"/>
          <w:szCs w:val="26"/>
        </w:rPr>
        <w:t xml:space="preserve">), que ha adquirido una relevancia crítica en los últimos años y que, al tratarse de una especie polífaga, también afecta a otros 80 </w:t>
      </w:r>
      <w:r w:rsidRPr="00A02E73">
        <w:rPr>
          <w:rFonts w:ascii="Cambria" w:eastAsia="Verdana" w:hAnsi="Cambria"/>
          <w:bCs/>
          <w:color w:val="000000" w:themeColor="text1"/>
          <w:sz w:val="26"/>
          <w:szCs w:val="26"/>
        </w:rPr>
        <w:lastRenderedPageBreak/>
        <w:t>géneros de plantas pertenecientes a 43 familias, entre ellas cítricos, cacao, mangos, guayabas, chirimoyas y diferentes palmeras.</w:t>
      </w:r>
    </w:p>
    <w:p w14:paraId="50BF17B3" w14:textId="77777777" w:rsidR="008861DC" w:rsidRPr="00F97D75" w:rsidRDefault="008861DC" w:rsidP="008861DC">
      <w:pPr>
        <w:jc w:val="both"/>
        <w:rPr>
          <w:rFonts w:ascii="Cambria" w:eastAsia="Verdana" w:hAnsi="Cambria"/>
          <w:bCs/>
          <w:color w:val="000000" w:themeColor="text1"/>
          <w:sz w:val="26"/>
          <w:szCs w:val="26"/>
        </w:rPr>
      </w:pPr>
    </w:p>
    <w:p w14:paraId="4DFD06E4" w14:textId="77777777" w:rsidR="008861DC" w:rsidRPr="00F97D75" w:rsidRDefault="008861DC" w:rsidP="008861DC">
      <w:pPr>
        <w:jc w:val="both"/>
        <w:rPr>
          <w:rFonts w:ascii="Cambria" w:eastAsia="Verdana" w:hAnsi="Cambria"/>
          <w:bCs/>
          <w:color w:val="000000" w:themeColor="text1"/>
          <w:sz w:val="26"/>
          <w:szCs w:val="26"/>
        </w:rPr>
      </w:pPr>
      <w:r w:rsidRPr="00F97D75">
        <w:rPr>
          <w:rFonts w:ascii="Cambria" w:eastAsia="Verdana" w:hAnsi="Cambria"/>
          <w:bCs/>
          <w:color w:val="000000" w:themeColor="text1"/>
          <w:sz w:val="26"/>
          <w:szCs w:val="26"/>
        </w:rPr>
        <w:t>En la exposición de motivos de la PNL se recuerda que las condiciones climáticas del archipiélago favorecen la presencia de estas plagas prácticamente durante todo el año, con especial incidencia durante el periodo estival y el inicio del otoño. También se subraya que entre 2023 y 2025 se registraron situaciones críticas tanto en la producción como en la comercialización del aguacate, lo que exige una intervención química inmediata ante la ineficacia de los métodos de control biológico o preventivo disponibles hasta el momento.</w:t>
      </w:r>
    </w:p>
    <w:p w14:paraId="7EFE42FF" w14:textId="77777777" w:rsidR="008861DC" w:rsidRPr="00F97D75" w:rsidRDefault="008861DC" w:rsidP="008861DC">
      <w:pPr>
        <w:jc w:val="both"/>
        <w:rPr>
          <w:rFonts w:ascii="Cambria" w:eastAsia="Verdana" w:hAnsi="Cambria"/>
          <w:bCs/>
          <w:color w:val="000000" w:themeColor="text1"/>
          <w:sz w:val="26"/>
          <w:szCs w:val="26"/>
        </w:rPr>
      </w:pPr>
    </w:p>
    <w:p w14:paraId="7B5D3F99" w14:textId="77777777" w:rsidR="008861DC" w:rsidRPr="00A02E73" w:rsidRDefault="008861DC" w:rsidP="008861DC">
      <w:pPr>
        <w:jc w:val="both"/>
        <w:rPr>
          <w:rFonts w:ascii="Cambria" w:eastAsia="Verdana" w:hAnsi="Cambria"/>
          <w:bCs/>
          <w:color w:val="000000" w:themeColor="text1"/>
          <w:sz w:val="26"/>
          <w:szCs w:val="26"/>
        </w:rPr>
      </w:pPr>
      <w:r w:rsidRPr="00A02E73">
        <w:rPr>
          <w:rFonts w:ascii="Cambria" w:eastAsia="Verdana" w:hAnsi="Cambria"/>
          <w:bCs/>
          <w:color w:val="000000" w:themeColor="text1"/>
          <w:sz w:val="26"/>
          <w:szCs w:val="26"/>
        </w:rPr>
        <w:t xml:space="preserve">Coalición Canaria recuerda además que tanto el artículo 53 del Reglamento (CE) </w:t>
      </w:r>
      <w:proofErr w:type="spellStart"/>
      <w:r w:rsidRPr="00A02E73">
        <w:rPr>
          <w:rFonts w:ascii="Cambria" w:eastAsia="Verdana" w:hAnsi="Cambria"/>
          <w:bCs/>
          <w:color w:val="000000" w:themeColor="text1"/>
          <w:sz w:val="26"/>
          <w:szCs w:val="26"/>
        </w:rPr>
        <w:t>nº</w:t>
      </w:r>
      <w:proofErr w:type="spellEnd"/>
      <w:r w:rsidRPr="00A02E73">
        <w:rPr>
          <w:rFonts w:ascii="Cambria" w:eastAsia="Verdana" w:hAnsi="Cambria"/>
          <w:bCs/>
          <w:color w:val="000000" w:themeColor="text1"/>
          <w:sz w:val="26"/>
          <w:szCs w:val="26"/>
        </w:rPr>
        <w:t xml:space="preserve"> 1107/2009 del Parlamento Europeo como el artículo 34 de la Ley 43/2002 de sanidad vegetal permiten la autorización excepcional de productos fitosanitarios ante peligros que no puedan controlarse por otros medios razonables. De hecho, amparándose en esta normativa, el Gobierno</w:t>
      </w:r>
      <w:r>
        <w:rPr>
          <w:rFonts w:ascii="Cambria" w:eastAsia="Verdana" w:hAnsi="Cambria"/>
          <w:bCs/>
          <w:color w:val="000000" w:themeColor="text1"/>
          <w:sz w:val="26"/>
          <w:szCs w:val="26"/>
        </w:rPr>
        <w:t xml:space="preserve"> canario </w:t>
      </w:r>
      <w:r w:rsidRPr="00A02E73">
        <w:rPr>
          <w:rFonts w:ascii="Cambria" w:eastAsia="Verdana" w:hAnsi="Cambria"/>
          <w:bCs/>
          <w:color w:val="000000" w:themeColor="text1"/>
          <w:sz w:val="26"/>
          <w:szCs w:val="26"/>
        </w:rPr>
        <w:t xml:space="preserve">ha solicitado en dos ocasiones al Ministerio de Agricultura la autorización del </w:t>
      </w:r>
      <w:proofErr w:type="spellStart"/>
      <w:r w:rsidRPr="00A02E73">
        <w:rPr>
          <w:rFonts w:ascii="Cambria" w:eastAsia="Verdana" w:hAnsi="Cambria"/>
          <w:bCs/>
          <w:color w:val="000000" w:themeColor="text1"/>
          <w:sz w:val="26"/>
          <w:szCs w:val="26"/>
        </w:rPr>
        <w:t>Spirotetramat</w:t>
      </w:r>
      <w:proofErr w:type="spellEnd"/>
      <w:r w:rsidRPr="00A02E73">
        <w:rPr>
          <w:rFonts w:ascii="Cambria" w:eastAsia="Verdana" w:hAnsi="Cambria"/>
          <w:bCs/>
          <w:color w:val="000000" w:themeColor="text1"/>
          <w:sz w:val="26"/>
          <w:szCs w:val="26"/>
        </w:rPr>
        <w:t xml:space="preserve"> 10 % para controlar la cochinilla del aguacate durante 120 días. La última petición se produjo el pasado mes de marzo y ambas solicitudes fueron denegadas por el Ejecutivo central.</w:t>
      </w:r>
    </w:p>
    <w:p w14:paraId="435DC04D" w14:textId="77777777" w:rsidR="008861DC" w:rsidRPr="00F97D75" w:rsidRDefault="008861DC" w:rsidP="008861DC">
      <w:pPr>
        <w:jc w:val="both"/>
        <w:rPr>
          <w:rFonts w:ascii="Cambria" w:eastAsia="Verdana" w:hAnsi="Cambria"/>
          <w:bCs/>
          <w:color w:val="000000" w:themeColor="text1"/>
          <w:sz w:val="26"/>
          <w:szCs w:val="26"/>
        </w:rPr>
      </w:pPr>
    </w:p>
    <w:p w14:paraId="7EA71D37" w14:textId="77777777" w:rsidR="008861DC" w:rsidRPr="00F97D75" w:rsidRDefault="008861DC" w:rsidP="008861DC">
      <w:pPr>
        <w:jc w:val="both"/>
        <w:rPr>
          <w:rFonts w:ascii="Cambria" w:eastAsia="Verdana" w:hAnsi="Cambria"/>
          <w:bCs/>
          <w:color w:val="000000" w:themeColor="text1"/>
          <w:sz w:val="26"/>
          <w:szCs w:val="26"/>
        </w:rPr>
      </w:pPr>
      <w:r w:rsidRPr="00F97D75">
        <w:rPr>
          <w:rFonts w:ascii="Cambria" w:eastAsia="Verdana" w:hAnsi="Cambria"/>
          <w:bCs/>
          <w:color w:val="000000" w:themeColor="text1"/>
          <w:sz w:val="26"/>
          <w:szCs w:val="26"/>
        </w:rPr>
        <w:t>La iniciativa de CC también reclama al Gobierno del Estado que refuerce las medidas de control en las fronteras del archipiélago para evitar la entrada ilegal de productos agrícolas que, además de suponer una competencia desleal para los agricultores canarios, facilita la introducción de nuevas plagas y enfermedades, vulnerando la Orden de 12 de marzo de 1987 que establece medidas de protección fitosanitaria para Canarias.</w:t>
      </w:r>
    </w:p>
    <w:p w14:paraId="6C18BF9D" w14:textId="77777777" w:rsidR="008861DC" w:rsidRPr="00F97D75" w:rsidRDefault="008861DC" w:rsidP="008861DC">
      <w:pPr>
        <w:jc w:val="both"/>
        <w:rPr>
          <w:rFonts w:ascii="Cambria" w:eastAsia="Verdana" w:hAnsi="Cambria"/>
          <w:bCs/>
          <w:color w:val="000000" w:themeColor="text1"/>
          <w:sz w:val="26"/>
          <w:szCs w:val="26"/>
        </w:rPr>
      </w:pPr>
    </w:p>
    <w:p w14:paraId="3A3563DC" w14:textId="1B088ECA" w:rsidR="006B64B8" w:rsidRPr="009A7BB0" w:rsidRDefault="008861DC" w:rsidP="00F97D75">
      <w:pPr>
        <w:jc w:val="both"/>
        <w:rPr>
          <w:rFonts w:ascii="Cambria" w:eastAsia="Verdana" w:hAnsi="Cambria"/>
          <w:bCs/>
          <w:color w:val="000000" w:themeColor="text1"/>
          <w:sz w:val="26"/>
          <w:szCs w:val="26"/>
        </w:rPr>
      </w:pPr>
      <w:r w:rsidRPr="00F97D75">
        <w:rPr>
          <w:rFonts w:ascii="Cambria" w:eastAsia="Verdana" w:hAnsi="Cambria"/>
          <w:bCs/>
          <w:color w:val="000000" w:themeColor="text1"/>
          <w:sz w:val="26"/>
          <w:szCs w:val="26"/>
        </w:rPr>
        <w:t>Asimismo, la PNL insta al Gobierno central a continuar defendiendo de manera activa ante la Unión Europea la singularidad de Canarias como región ultraperiférica, donde las condiciones climáticas hacen inviable la aplicación de criterios homogéneos con el resto del territorio del Estado en materia de sanidad vegetal.</w:t>
      </w:r>
    </w:p>
    <w:sectPr w:rsidR="006B64B8" w:rsidRPr="009A7BB0">
      <w:headerReference w:type="default" r:id="rId8"/>
      <w:footerReference w:type="default" r:id="rId9"/>
      <w:pgSz w:w="11906" w:h="16838"/>
      <w:pgMar w:top="4497" w:right="1701" w:bottom="1947" w:left="1701"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30DA3" w14:textId="77777777" w:rsidR="00246ED8" w:rsidRDefault="00246ED8">
      <w:r>
        <w:separator/>
      </w:r>
    </w:p>
  </w:endnote>
  <w:endnote w:type="continuationSeparator" w:id="0">
    <w:p w14:paraId="75BEB45C" w14:textId="77777777" w:rsidR="00246ED8" w:rsidRDefault="00246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Roboto">
    <w:altName w:val="Segoe Print"/>
    <w:panose1 w:val="02000000000000000000"/>
    <w:charset w:val="00"/>
    <w:family w:val="auto"/>
    <w:pitch w:val="variable"/>
    <w:sig w:usb0="E0000AFF" w:usb1="5000217F" w:usb2="00000021"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FA3A9" w14:textId="77777777" w:rsidR="004D7C6F" w:rsidRDefault="00D0645F">
    <w:pPr>
      <w:pStyle w:val="Piedepgina"/>
    </w:pPr>
    <w:r>
      <w:rPr>
        <w:noProof/>
      </w:rPr>
      <w:drawing>
        <wp:anchor distT="0" distB="0" distL="0" distR="0" simplePos="0" relativeHeight="251658752" behindDoc="1" locked="0" layoutInCell="1" allowOverlap="1" wp14:anchorId="6040F32F" wp14:editId="36BE35E1">
          <wp:simplePos x="0" y="0"/>
          <wp:positionH relativeFrom="column">
            <wp:posOffset>2743200</wp:posOffset>
          </wp:positionH>
          <wp:positionV relativeFrom="paragraph">
            <wp:posOffset>-297180</wp:posOffset>
          </wp:positionV>
          <wp:extent cx="1375410" cy="525780"/>
          <wp:effectExtent l="0" t="0" r="0" b="0"/>
          <wp:wrapNone/>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noChangeArrowheads="1"/>
                  </pic:cNvPicPr>
                </pic:nvPicPr>
                <pic:blipFill>
                  <a:blip r:embed="rId1"/>
                  <a:stretch>
                    <a:fillRect/>
                  </a:stretch>
                </pic:blipFill>
                <pic:spPr>
                  <a:xfrm>
                    <a:off x="0" y="0"/>
                    <a:ext cx="1375410" cy="525780"/>
                  </a:xfrm>
                  <a:prstGeom prst="rect">
                    <a:avLst/>
                  </a:prstGeom>
                </pic:spPr>
              </pic:pic>
            </a:graphicData>
          </a:graphic>
        </wp:anchor>
      </w:drawing>
    </w:r>
    <w:r>
      <w:rPr>
        <w:noProof/>
      </w:rPr>
      <mc:AlternateContent>
        <mc:Choice Requires="wps">
          <w:drawing>
            <wp:anchor distT="12700" distB="22860" distL="114300" distR="114300" simplePos="0" relativeHeight="251659776" behindDoc="1" locked="0" layoutInCell="0" allowOverlap="1" wp14:anchorId="3A25D07B" wp14:editId="57BBCD0F">
              <wp:simplePos x="0" y="0"/>
              <wp:positionH relativeFrom="column">
                <wp:posOffset>456565</wp:posOffset>
              </wp:positionH>
              <wp:positionV relativeFrom="paragraph">
                <wp:posOffset>-340995</wp:posOffset>
              </wp:positionV>
              <wp:extent cx="2172335" cy="644525"/>
              <wp:effectExtent l="635" t="0" r="0" b="635"/>
              <wp:wrapTight wrapText="bothSides">
                <wp:wrapPolygon edited="0">
                  <wp:start x="631" y="426"/>
                  <wp:lineTo x="631" y="20855"/>
                  <wp:lineTo x="21594" y="20855"/>
                  <wp:lineTo x="21594" y="426"/>
                  <wp:lineTo x="631" y="426"/>
                </wp:wrapPolygon>
              </wp:wrapTight>
              <wp:docPr id="5" name="Cuadro de texto 2"/>
              <wp:cNvGraphicFramePr/>
              <a:graphic xmlns:a="http://schemas.openxmlformats.org/drawingml/2006/main">
                <a:graphicData uri="http://schemas.microsoft.com/office/word/2010/wordprocessingShape">
                  <wps:wsp>
                    <wps:cNvSpPr/>
                    <wps:spPr>
                      <a:xfrm>
                        <a:off x="0" y="0"/>
                        <a:ext cx="2172240" cy="644400"/>
                      </a:xfrm>
                      <a:custGeom>
                        <a:avLst/>
                        <a:gdLst>
                          <a:gd name="textAreaLeft" fmla="*/ 0 w 1231560"/>
                          <a:gd name="textAreaRight" fmla="*/ 1231920 w 1231560"/>
                          <a:gd name="textAreaTop" fmla="*/ 0 h 365400"/>
                          <a:gd name="textAreaBottom" fmla="*/ 365760 h 365400"/>
                        </a:gdLst>
                        <a:ahLst/>
                        <a:cxnLst/>
                        <a:rect l="textAreaLeft" t="textAreaTop" r="textAreaRight" b="textAreaBottom"/>
                        <a:pathLst>
                          <a:path w="2286635" h="761365">
                            <a:moveTo>
                              <a:pt x="0" y="0"/>
                            </a:moveTo>
                            <a:lnTo>
                              <a:pt x="2286635" y="2540"/>
                            </a:lnTo>
                            <a:lnTo>
                              <a:pt x="2030095" y="761365"/>
                            </a:lnTo>
                            <a:lnTo>
                              <a:pt x="0" y="761365"/>
                            </a:lnTo>
                            <a:lnTo>
                              <a:pt x="0" y="0"/>
                            </a:lnTo>
                            <a:close/>
                          </a:path>
                        </a:pathLst>
                      </a:custGeom>
                      <a:noFill/>
                      <a:ln w="0">
                        <a:noFill/>
                      </a:ln>
                    </wps:spPr>
                    <wps:style>
                      <a:lnRef idx="0">
                        <a:srgbClr val="FFFFFF"/>
                      </a:lnRef>
                      <a:fillRef idx="0">
                        <a:srgbClr val="FFFFFF"/>
                      </a:fillRef>
                      <a:effectRef idx="0">
                        <a:srgbClr val="FFFFFF"/>
                      </a:effectRef>
                      <a:fontRef idx="minor"/>
                    </wps:style>
                    <wps:txbx>
                      <w:txbxContent>
                        <w:p w14:paraId="13D73732" w14:textId="77777777" w:rsidR="004D7C6F" w:rsidRDefault="00D0645F">
                          <w:pPr>
                            <w:pStyle w:val="Contenidodelmarco"/>
                            <w:jc w:val="right"/>
                            <w:rPr>
                              <w:rFonts w:ascii="Roboto" w:hAnsi="Roboto"/>
                              <w:color w:val="7F7F7F"/>
                              <w:sz w:val="16"/>
                              <w:szCs w:val="16"/>
                            </w:rPr>
                          </w:pPr>
                          <w:r>
                            <w:rPr>
                              <w:rFonts w:ascii="Roboto" w:hAnsi="Roboto"/>
                              <w:color w:val="7F7F7F"/>
                              <w:sz w:val="16"/>
                              <w:szCs w:val="16"/>
                            </w:rPr>
                            <w:t>Departamento de Comunicación</w:t>
                          </w:r>
                        </w:p>
                        <w:p w14:paraId="426D46A4" w14:textId="77777777" w:rsidR="004D7C6F" w:rsidRDefault="00D0645F">
                          <w:pPr>
                            <w:pStyle w:val="Contenidodelmarco"/>
                            <w:jc w:val="right"/>
                            <w:rPr>
                              <w:rFonts w:ascii="Roboto" w:hAnsi="Roboto"/>
                              <w:color w:val="7F7F7F"/>
                              <w:sz w:val="16"/>
                              <w:szCs w:val="16"/>
                            </w:rPr>
                          </w:pPr>
                          <w:r>
                            <w:rPr>
                              <w:rFonts w:ascii="Roboto" w:hAnsi="Roboto"/>
                              <w:color w:val="7F7F7F"/>
                              <w:sz w:val="16"/>
                              <w:szCs w:val="16"/>
                            </w:rPr>
                            <w:t>prensa@coalicioncanaria.org</w:t>
                          </w:r>
                        </w:p>
                        <w:p w14:paraId="753BD45F" w14:textId="77777777" w:rsidR="004D7C6F" w:rsidRDefault="00D0645F">
                          <w:pPr>
                            <w:pStyle w:val="Contenidodelmarco"/>
                            <w:jc w:val="right"/>
                            <w:rPr>
                              <w:rFonts w:ascii="Roboto" w:hAnsi="Roboto"/>
                              <w:b/>
                              <w:color w:val="7F7F7F"/>
                              <w:sz w:val="16"/>
                              <w:szCs w:val="16"/>
                            </w:rPr>
                          </w:pPr>
                          <w:r>
                            <w:rPr>
                              <w:rFonts w:ascii="Roboto" w:hAnsi="Roboto"/>
                              <w:b/>
                              <w:color w:val="7F7F7F"/>
                              <w:sz w:val="16"/>
                              <w:szCs w:val="16"/>
                            </w:rPr>
                            <w:t>coalicioncanaria.org</w:t>
                          </w:r>
                        </w:p>
                      </w:txbxContent>
                    </wps:txbx>
                    <wps:bodyPr lIns="91440" tIns="45720" rIns="0" bIns="45720" anchor="t"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A25D07B" id="Cuadro de texto 2" o:spid="_x0000_s1027" style="position:absolute;margin-left:35.95pt;margin-top:-26.85pt;width:171.05pt;height:50.75pt;z-index:-251656704;visibility:visible;mso-wrap-style:square;mso-wrap-distance-left:9pt;mso-wrap-distance-top:1pt;mso-wrap-distance-right:9pt;mso-wrap-distance-bottom:1.8pt;mso-position-horizontal:absolute;mso-position-horizontal-relative:text;mso-position-vertical:absolute;mso-position-vertical-relative:text;v-text-anchor:top" coordsize="2286635,7613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" o:allowincell="f" adj="-11796480,,5400" path="m,l2286635,2540,2030095,761365,,761365,,xe" filled="f" stroked="f" strokeweight="0">
              <v:stroke joinstyle="miter"/>
              <v:formulas/>
              <v:path arrowok="t" o:connecttype="custom" textboxrect="0,0,2287303,762115"/>
              <v:textbox inset=",,0">
                <w:txbxContent>
                  <w:p w14:paraId="13D73732" w14:textId="77777777" w:rsidR="004D7C6F" w:rsidRDefault="00D0645F">
                    <w:pPr>
                      <w:pStyle w:val="Contenidodelmarco"/>
                      <w:jc w:val="right"/>
                      <w:rPr>
                        <w:rFonts w:ascii="Roboto" w:hAnsi="Roboto"/>
                        <w:color w:val="7F7F7F"/>
                        <w:sz w:val="16"/>
                        <w:szCs w:val="16"/>
                      </w:rPr>
                    </w:pPr>
                    <w:r>
                      <w:rPr>
                        <w:rFonts w:ascii="Roboto" w:hAnsi="Roboto"/>
                        <w:color w:val="7F7F7F"/>
                        <w:sz w:val="16"/>
                        <w:szCs w:val="16"/>
                      </w:rPr>
                      <w:t>Departamento de Comunicación</w:t>
                    </w:r>
                  </w:p>
                  <w:p w14:paraId="426D46A4" w14:textId="77777777" w:rsidR="004D7C6F" w:rsidRDefault="00D0645F">
                    <w:pPr>
                      <w:pStyle w:val="Contenidodelmarco"/>
                      <w:jc w:val="right"/>
                      <w:rPr>
                        <w:rFonts w:ascii="Roboto" w:hAnsi="Roboto"/>
                        <w:color w:val="7F7F7F"/>
                        <w:sz w:val="16"/>
                        <w:szCs w:val="16"/>
                      </w:rPr>
                    </w:pPr>
                    <w:r>
                      <w:rPr>
                        <w:rFonts w:ascii="Roboto" w:hAnsi="Roboto"/>
                        <w:color w:val="7F7F7F"/>
                        <w:sz w:val="16"/>
                        <w:szCs w:val="16"/>
                      </w:rPr>
                      <w:t>prensa@coalicioncanaria.org</w:t>
                    </w:r>
                  </w:p>
                  <w:p w14:paraId="753BD45F" w14:textId="77777777" w:rsidR="004D7C6F" w:rsidRDefault="00D0645F">
                    <w:pPr>
                      <w:pStyle w:val="Contenidodelmarco"/>
                      <w:jc w:val="right"/>
                      <w:rPr>
                        <w:rFonts w:ascii="Roboto" w:hAnsi="Roboto"/>
                        <w:b/>
                        <w:color w:val="7F7F7F"/>
                        <w:sz w:val="16"/>
                        <w:szCs w:val="16"/>
                      </w:rPr>
                    </w:pPr>
                    <w:r>
                      <w:rPr>
                        <w:rFonts w:ascii="Roboto" w:hAnsi="Roboto"/>
                        <w:b/>
                        <w:color w:val="7F7F7F"/>
                        <w:sz w:val="16"/>
                        <w:szCs w:val="16"/>
                      </w:rPr>
                      <w:t>coalicioncanaria.org</w:t>
                    </w:r>
                  </w:p>
                </w:txbxContent>
              </v:textbox>
              <w10:wrap type="tigh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2DC6D" w14:textId="77777777" w:rsidR="00246ED8" w:rsidRDefault="00246ED8">
      <w:r>
        <w:separator/>
      </w:r>
    </w:p>
  </w:footnote>
  <w:footnote w:type="continuationSeparator" w:id="0">
    <w:p w14:paraId="002E8C8A" w14:textId="77777777" w:rsidR="00246ED8" w:rsidRDefault="00246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5FDBF" w14:textId="77777777" w:rsidR="004D7C6F" w:rsidRDefault="00D0645F">
    <w:pPr>
      <w:pStyle w:val="Encabezado"/>
    </w:pPr>
    <w:r>
      <w:rPr>
        <w:noProof/>
      </w:rPr>
      <w:drawing>
        <wp:anchor distT="0" distB="0" distL="0" distR="0" simplePos="0" relativeHeight="251655680" behindDoc="1" locked="0" layoutInCell="1" allowOverlap="1" wp14:anchorId="7FADFF58" wp14:editId="5129D8B7">
          <wp:simplePos x="0" y="0"/>
          <wp:positionH relativeFrom="column">
            <wp:posOffset>2113915</wp:posOffset>
          </wp:positionH>
          <wp:positionV relativeFrom="paragraph">
            <wp:posOffset>170815</wp:posOffset>
          </wp:positionV>
          <wp:extent cx="1086485" cy="102997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a:xfrm>
                    <a:off x="0" y="0"/>
                    <a:ext cx="1086485" cy="1029970"/>
                  </a:xfrm>
                  <a:prstGeom prst="rect">
                    <a:avLst/>
                  </a:prstGeom>
                </pic:spPr>
              </pic:pic>
            </a:graphicData>
          </a:graphic>
        </wp:anchor>
      </w:drawing>
    </w:r>
    <w:r>
      <w:rPr>
        <w:noProof/>
      </w:rPr>
      <mc:AlternateContent>
        <mc:Choice Requires="wps">
          <w:drawing>
            <wp:anchor distT="38100" distB="35560" distL="38100" distR="28575" simplePos="0" relativeHeight="251656704" behindDoc="1" locked="0" layoutInCell="1" allowOverlap="1" wp14:anchorId="4D6BC729" wp14:editId="3AC45233">
              <wp:simplePos x="0" y="0"/>
              <wp:positionH relativeFrom="column">
                <wp:posOffset>1714500</wp:posOffset>
              </wp:positionH>
              <wp:positionV relativeFrom="paragraph">
                <wp:posOffset>1720215</wp:posOffset>
              </wp:positionV>
              <wp:extent cx="1825625" cy="345440"/>
              <wp:effectExtent l="3810" t="3175" r="2540" b="3175"/>
              <wp:wrapNone/>
              <wp:docPr id="2" name="Cuadro de texto 1"/>
              <wp:cNvGraphicFramePr/>
              <a:graphic xmlns:a="http://schemas.openxmlformats.org/drawingml/2006/main">
                <a:graphicData uri="http://schemas.microsoft.com/office/word/2010/wordprocessingShape">
                  <wps:wsp>
                    <wps:cNvSpPr/>
                    <wps:spPr>
                      <a:xfrm>
                        <a:off x="0" y="0"/>
                        <a:ext cx="1825560" cy="345600"/>
                      </a:xfrm>
                      <a:prstGeom prst="rect">
                        <a:avLst/>
                      </a:prstGeom>
                      <a:noFill/>
                      <a:ln w="6350">
                        <a:solidFill>
                          <a:srgbClr val="000000"/>
                        </a:solidFill>
                        <a:round/>
                      </a:ln>
                      <a:scene3d>
                        <a:camera prst="orthographicFront">
                          <a:rot lat="0" lon="0" rev="0"/>
                        </a:camera>
                        <a:lightRig rig="threePt" dir="t"/>
                      </a:scene3d>
                    </wps:spPr>
                    <wps:style>
                      <a:lnRef idx="0">
                        <a:srgbClr val="FFFFFF"/>
                      </a:lnRef>
                      <a:fillRef idx="0">
                        <a:srgbClr val="FFFFFF"/>
                      </a:fillRef>
                      <a:effectRef idx="0">
                        <a:srgbClr val="FFFFFF"/>
                      </a:effectRef>
                      <a:fontRef idx="minor"/>
                    </wps:style>
                    <wps:txbx>
                      <w:txbxContent>
                        <w:p w14:paraId="5AB69223" w14:textId="77777777" w:rsidR="004D7C6F" w:rsidRDefault="00D0645F">
                          <w:pPr>
                            <w:pStyle w:val="Subttulo"/>
                            <w:jc w:val="center"/>
                            <w:rPr>
                              <w:b/>
                              <w:color w:val="000000"/>
                              <w:sz w:val="32"/>
                              <w:szCs w:val="32"/>
                              <w:u w:val="single"/>
                              <w:lang w:val="es-ES"/>
                            </w:rPr>
                          </w:pPr>
                          <w:r>
                            <w:rPr>
                              <w:b/>
                              <w:color w:val="000000"/>
                              <w:sz w:val="32"/>
                              <w:szCs w:val="32"/>
                              <w:u w:val="single"/>
                              <w:lang w:val="es-ES"/>
                            </w:rPr>
                            <w:t>NOTA DE PRENSA</w:t>
                          </w:r>
                        </w:p>
                      </w:txbxContent>
                    </wps:txbx>
                    <wps:bodyPr lIns="91440" tIns="45720" rIns="0" bIns="45720" anchor="t">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4D6BC729" id="Cuadro de texto 1" o:spid="_x0000_s1026" style="position:absolute;margin-left:135pt;margin-top:135.45pt;width:143.75pt;height:27.2pt;z-index:-251659776;visibility:visible;mso-wrap-style:square;mso-wrap-distance-left:3pt;mso-wrap-distance-top:3pt;mso-wrap-distance-right:2.25pt;mso-wrap-distance-bottom:2.8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" filled="f" strokeweight=".5pt">
              <v:stroke joinstyle="round"/>
              <v:textbox inset=",,0">
                <w:txbxContent>
                  <w:p w14:paraId="5AB69223" w14:textId="77777777" w:rsidR="004D7C6F" w:rsidRDefault="00D0645F">
                    <w:pPr>
                      <w:pStyle w:val="Subttulo"/>
                      <w:jc w:val="center"/>
                      <w:rPr>
                        <w:b/>
                        <w:color w:val="000000"/>
                        <w:sz w:val="32"/>
                        <w:szCs w:val="32"/>
                        <w:u w:val="single"/>
                        <w:lang w:val="es-ES"/>
                      </w:rPr>
                    </w:pPr>
                    <w:r>
                      <w:rPr>
                        <w:b/>
                        <w:color w:val="000000"/>
                        <w:sz w:val="32"/>
                        <w:szCs w:val="32"/>
                        <w:u w:val="single"/>
                        <w:lang w:val="es-ES"/>
                      </w:rPr>
                      <w:t>NOTA DE PRENSA</w:t>
                    </w:r>
                  </w:p>
                </w:txbxContent>
              </v:textbox>
            </v:rect>
          </w:pict>
        </mc:Fallback>
      </mc:AlternateContent>
    </w:r>
    <w:r>
      <w:rPr>
        <w:noProof/>
      </w:rPr>
      <mc:AlternateContent>
        <mc:Choice Requires="wps">
          <w:drawing>
            <wp:anchor distT="0" distB="0" distL="0" distR="0" simplePos="0" relativeHeight="251657728" behindDoc="1" locked="0" layoutInCell="1" allowOverlap="1" wp14:anchorId="1892545C" wp14:editId="40BAFB21">
              <wp:simplePos x="0" y="0"/>
              <wp:positionH relativeFrom="column">
                <wp:posOffset>3429000</wp:posOffset>
              </wp:positionH>
              <wp:positionV relativeFrom="paragraph">
                <wp:posOffset>1834515</wp:posOffset>
              </wp:positionV>
              <wp:extent cx="114300" cy="114300"/>
              <wp:effectExtent l="0" t="0" r="0" b="0"/>
              <wp:wrapNone/>
              <wp:docPr id="3" name="Text Box 4"/>
              <wp:cNvGraphicFramePr/>
              <a:graphic xmlns:a="http://schemas.openxmlformats.org/drawingml/2006/main">
                <a:graphicData uri="http://schemas.microsoft.com/office/word/2010/wordprocessingShape">
                  <wps:wsp>
                    <wps:cNvSpPr/>
                    <wps:spPr>
                      <a:xfrm>
                        <a:off x="0" y="0"/>
                        <a:ext cx="114480" cy="114480"/>
                      </a:xfrm>
                      <a:prstGeom prst="rect">
                        <a:avLst/>
                      </a:prstGeom>
                      <a:noFill/>
                      <a:ln w="0">
                        <a:noFill/>
                      </a:ln>
                    </wps:spPr>
                    <wps:style>
                      <a:lnRef idx="0">
                        <a:srgbClr val="FFFFFF"/>
                      </a:lnRef>
                      <a:fillRef idx="0">
                        <a:srgbClr val="FFFFFF"/>
                      </a:fillRef>
                      <a:effectRef idx="0">
                        <a:srgbClr val="FFFFFF"/>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574A9A6E" id="Text Box 4" o:spid="_x0000_s1026" style="position:absolute;margin-left:270pt;margin-top:144.45pt;width:9pt;height:9pt;z-index:-2516587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" filled="f" stroked="f" strokeweight="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E8318A"/>
    <w:multiLevelType w:val="multilevel"/>
    <w:tmpl w:val="81621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813DE3"/>
    <w:multiLevelType w:val="multilevel"/>
    <w:tmpl w:val="CD7CA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C6F"/>
    <w:rsid w:val="000026D4"/>
    <w:rsid w:val="00010EAF"/>
    <w:rsid w:val="00013D98"/>
    <w:rsid w:val="0003540A"/>
    <w:rsid w:val="000552B5"/>
    <w:rsid w:val="00061F34"/>
    <w:rsid w:val="000627FD"/>
    <w:rsid w:val="0007559C"/>
    <w:rsid w:val="00087F1D"/>
    <w:rsid w:val="000952B4"/>
    <w:rsid w:val="00095CF4"/>
    <w:rsid w:val="000A5AEF"/>
    <w:rsid w:val="000B0C1E"/>
    <w:rsid w:val="000B196F"/>
    <w:rsid w:val="000B36A7"/>
    <w:rsid w:val="000B4FDD"/>
    <w:rsid w:val="000C76A7"/>
    <w:rsid w:val="000E212E"/>
    <w:rsid w:val="000E516A"/>
    <w:rsid w:val="000F7E25"/>
    <w:rsid w:val="00110D7D"/>
    <w:rsid w:val="001438CE"/>
    <w:rsid w:val="00146E8B"/>
    <w:rsid w:val="00147AF5"/>
    <w:rsid w:val="00151BBC"/>
    <w:rsid w:val="00154234"/>
    <w:rsid w:val="00155041"/>
    <w:rsid w:val="001919B6"/>
    <w:rsid w:val="001B193D"/>
    <w:rsid w:val="001D73C0"/>
    <w:rsid w:val="001E0D7B"/>
    <w:rsid w:val="001E4724"/>
    <w:rsid w:val="001F6218"/>
    <w:rsid w:val="001F7306"/>
    <w:rsid w:val="0021163E"/>
    <w:rsid w:val="002165FE"/>
    <w:rsid w:val="00232EBF"/>
    <w:rsid w:val="00246ED8"/>
    <w:rsid w:val="0025380A"/>
    <w:rsid w:val="002560AC"/>
    <w:rsid w:val="0026127B"/>
    <w:rsid w:val="00267AB5"/>
    <w:rsid w:val="0027485A"/>
    <w:rsid w:val="00283245"/>
    <w:rsid w:val="00294546"/>
    <w:rsid w:val="002A159E"/>
    <w:rsid w:val="002A2828"/>
    <w:rsid w:val="002A2E87"/>
    <w:rsid w:val="002D49F6"/>
    <w:rsid w:val="002E11F3"/>
    <w:rsid w:val="002F0E2E"/>
    <w:rsid w:val="002F27DE"/>
    <w:rsid w:val="002F5DF4"/>
    <w:rsid w:val="00305875"/>
    <w:rsid w:val="00355004"/>
    <w:rsid w:val="00377DA7"/>
    <w:rsid w:val="00380DDF"/>
    <w:rsid w:val="00384B02"/>
    <w:rsid w:val="003869A9"/>
    <w:rsid w:val="003A7F68"/>
    <w:rsid w:val="003B0A58"/>
    <w:rsid w:val="003C48B6"/>
    <w:rsid w:val="003D1FA0"/>
    <w:rsid w:val="003D2476"/>
    <w:rsid w:val="003D3DFB"/>
    <w:rsid w:val="003D495C"/>
    <w:rsid w:val="003D555A"/>
    <w:rsid w:val="003E38C1"/>
    <w:rsid w:val="003E3A84"/>
    <w:rsid w:val="003E50C0"/>
    <w:rsid w:val="003E66CD"/>
    <w:rsid w:val="003E6AC8"/>
    <w:rsid w:val="00415D63"/>
    <w:rsid w:val="0041651D"/>
    <w:rsid w:val="00417707"/>
    <w:rsid w:val="00422ADA"/>
    <w:rsid w:val="00433192"/>
    <w:rsid w:val="00436A3F"/>
    <w:rsid w:val="00437FC8"/>
    <w:rsid w:val="00442A4A"/>
    <w:rsid w:val="004512BF"/>
    <w:rsid w:val="004565BE"/>
    <w:rsid w:val="0045752C"/>
    <w:rsid w:val="004578A9"/>
    <w:rsid w:val="004761C6"/>
    <w:rsid w:val="0047762D"/>
    <w:rsid w:val="00485918"/>
    <w:rsid w:val="004923B7"/>
    <w:rsid w:val="004946BD"/>
    <w:rsid w:val="00494B82"/>
    <w:rsid w:val="004C03DD"/>
    <w:rsid w:val="004D35DE"/>
    <w:rsid w:val="004D7073"/>
    <w:rsid w:val="004D7C6F"/>
    <w:rsid w:val="004D7E99"/>
    <w:rsid w:val="004D7EC7"/>
    <w:rsid w:val="00501210"/>
    <w:rsid w:val="00521448"/>
    <w:rsid w:val="00534C3F"/>
    <w:rsid w:val="00535E98"/>
    <w:rsid w:val="00550C1C"/>
    <w:rsid w:val="00553116"/>
    <w:rsid w:val="005610B4"/>
    <w:rsid w:val="005745FF"/>
    <w:rsid w:val="00575ADD"/>
    <w:rsid w:val="00576646"/>
    <w:rsid w:val="00581603"/>
    <w:rsid w:val="0059046B"/>
    <w:rsid w:val="005926EE"/>
    <w:rsid w:val="00592FF3"/>
    <w:rsid w:val="005A37B9"/>
    <w:rsid w:val="005A37F1"/>
    <w:rsid w:val="005B3B6F"/>
    <w:rsid w:val="005B7657"/>
    <w:rsid w:val="005C14B3"/>
    <w:rsid w:val="005C3F19"/>
    <w:rsid w:val="005E0E6C"/>
    <w:rsid w:val="005E5743"/>
    <w:rsid w:val="005E74CC"/>
    <w:rsid w:val="005F384D"/>
    <w:rsid w:val="005F5272"/>
    <w:rsid w:val="006147A7"/>
    <w:rsid w:val="0063116B"/>
    <w:rsid w:val="0063270F"/>
    <w:rsid w:val="00634E3C"/>
    <w:rsid w:val="00637787"/>
    <w:rsid w:val="00640717"/>
    <w:rsid w:val="0064184B"/>
    <w:rsid w:val="00670558"/>
    <w:rsid w:val="00685463"/>
    <w:rsid w:val="006A35A8"/>
    <w:rsid w:val="006B09FD"/>
    <w:rsid w:val="006B64B8"/>
    <w:rsid w:val="006C0FF9"/>
    <w:rsid w:val="006E1902"/>
    <w:rsid w:val="006E50F8"/>
    <w:rsid w:val="00700135"/>
    <w:rsid w:val="00723359"/>
    <w:rsid w:val="00727384"/>
    <w:rsid w:val="007400B0"/>
    <w:rsid w:val="00741E15"/>
    <w:rsid w:val="00756609"/>
    <w:rsid w:val="0076020E"/>
    <w:rsid w:val="00760DEE"/>
    <w:rsid w:val="007718AB"/>
    <w:rsid w:val="00774BE1"/>
    <w:rsid w:val="00775442"/>
    <w:rsid w:val="007A486D"/>
    <w:rsid w:val="007C2F61"/>
    <w:rsid w:val="007D5D0C"/>
    <w:rsid w:val="007E5661"/>
    <w:rsid w:val="008074FD"/>
    <w:rsid w:val="00807B04"/>
    <w:rsid w:val="00824D85"/>
    <w:rsid w:val="0083066B"/>
    <w:rsid w:val="00840B57"/>
    <w:rsid w:val="00852C3F"/>
    <w:rsid w:val="00872C27"/>
    <w:rsid w:val="0087370E"/>
    <w:rsid w:val="008748E4"/>
    <w:rsid w:val="00881339"/>
    <w:rsid w:val="008861DC"/>
    <w:rsid w:val="008928B2"/>
    <w:rsid w:val="00895852"/>
    <w:rsid w:val="008A6319"/>
    <w:rsid w:val="008B676E"/>
    <w:rsid w:val="008C1034"/>
    <w:rsid w:val="008D7B54"/>
    <w:rsid w:val="008E4A81"/>
    <w:rsid w:val="008E7FD4"/>
    <w:rsid w:val="008F5F86"/>
    <w:rsid w:val="00902DD8"/>
    <w:rsid w:val="009254DF"/>
    <w:rsid w:val="009307AB"/>
    <w:rsid w:val="00935903"/>
    <w:rsid w:val="0095429C"/>
    <w:rsid w:val="00970E77"/>
    <w:rsid w:val="00973300"/>
    <w:rsid w:val="009762F7"/>
    <w:rsid w:val="00981820"/>
    <w:rsid w:val="009915D4"/>
    <w:rsid w:val="00992C4E"/>
    <w:rsid w:val="009A1620"/>
    <w:rsid w:val="009A7BB0"/>
    <w:rsid w:val="009B109E"/>
    <w:rsid w:val="009B6643"/>
    <w:rsid w:val="009B7072"/>
    <w:rsid w:val="009C2092"/>
    <w:rsid w:val="009C6B4B"/>
    <w:rsid w:val="009D4CB7"/>
    <w:rsid w:val="009E329F"/>
    <w:rsid w:val="009E3BA6"/>
    <w:rsid w:val="009F5E0A"/>
    <w:rsid w:val="009F7BF7"/>
    <w:rsid w:val="00A02E73"/>
    <w:rsid w:val="00A049E0"/>
    <w:rsid w:val="00A13628"/>
    <w:rsid w:val="00A30344"/>
    <w:rsid w:val="00A61E6B"/>
    <w:rsid w:val="00A645F7"/>
    <w:rsid w:val="00A646DB"/>
    <w:rsid w:val="00A65702"/>
    <w:rsid w:val="00A840B5"/>
    <w:rsid w:val="00A96C48"/>
    <w:rsid w:val="00AA1147"/>
    <w:rsid w:val="00AB0617"/>
    <w:rsid w:val="00AC086C"/>
    <w:rsid w:val="00AC2CBD"/>
    <w:rsid w:val="00AC2D7D"/>
    <w:rsid w:val="00B10D67"/>
    <w:rsid w:val="00B3118D"/>
    <w:rsid w:val="00B43ADE"/>
    <w:rsid w:val="00B71883"/>
    <w:rsid w:val="00B7718B"/>
    <w:rsid w:val="00B7792F"/>
    <w:rsid w:val="00B844F6"/>
    <w:rsid w:val="00B84A60"/>
    <w:rsid w:val="00B85E2A"/>
    <w:rsid w:val="00BB0365"/>
    <w:rsid w:val="00BB4A90"/>
    <w:rsid w:val="00BB52AF"/>
    <w:rsid w:val="00BF3FB9"/>
    <w:rsid w:val="00C055C8"/>
    <w:rsid w:val="00C13761"/>
    <w:rsid w:val="00C238F4"/>
    <w:rsid w:val="00C43D8E"/>
    <w:rsid w:val="00C4771A"/>
    <w:rsid w:val="00C54B87"/>
    <w:rsid w:val="00C62B9E"/>
    <w:rsid w:val="00C654E1"/>
    <w:rsid w:val="00C66418"/>
    <w:rsid w:val="00C66DA8"/>
    <w:rsid w:val="00C723C0"/>
    <w:rsid w:val="00C87341"/>
    <w:rsid w:val="00C8774D"/>
    <w:rsid w:val="00C90A32"/>
    <w:rsid w:val="00C914B8"/>
    <w:rsid w:val="00C947D6"/>
    <w:rsid w:val="00C94815"/>
    <w:rsid w:val="00CA4DB5"/>
    <w:rsid w:val="00CA6FDF"/>
    <w:rsid w:val="00CA73F6"/>
    <w:rsid w:val="00CA7EDC"/>
    <w:rsid w:val="00CB1F1C"/>
    <w:rsid w:val="00CB60E4"/>
    <w:rsid w:val="00CD1861"/>
    <w:rsid w:val="00CF30AF"/>
    <w:rsid w:val="00CF6141"/>
    <w:rsid w:val="00CF7EE1"/>
    <w:rsid w:val="00D0180A"/>
    <w:rsid w:val="00D0645F"/>
    <w:rsid w:val="00D11380"/>
    <w:rsid w:val="00D1591C"/>
    <w:rsid w:val="00D378E0"/>
    <w:rsid w:val="00D5062F"/>
    <w:rsid w:val="00D64075"/>
    <w:rsid w:val="00D73E82"/>
    <w:rsid w:val="00D742BE"/>
    <w:rsid w:val="00D87CF6"/>
    <w:rsid w:val="00D9768A"/>
    <w:rsid w:val="00DA2FC3"/>
    <w:rsid w:val="00DA544E"/>
    <w:rsid w:val="00DB0F60"/>
    <w:rsid w:val="00DB4533"/>
    <w:rsid w:val="00DB753C"/>
    <w:rsid w:val="00DD3963"/>
    <w:rsid w:val="00DD43C8"/>
    <w:rsid w:val="00DD47BF"/>
    <w:rsid w:val="00DD7A34"/>
    <w:rsid w:val="00DE5EDC"/>
    <w:rsid w:val="00E129D0"/>
    <w:rsid w:val="00E50AB7"/>
    <w:rsid w:val="00E55C82"/>
    <w:rsid w:val="00E56585"/>
    <w:rsid w:val="00E65F54"/>
    <w:rsid w:val="00E7340B"/>
    <w:rsid w:val="00EA68F3"/>
    <w:rsid w:val="00EB096B"/>
    <w:rsid w:val="00EC12BA"/>
    <w:rsid w:val="00F02E63"/>
    <w:rsid w:val="00F10C57"/>
    <w:rsid w:val="00F40394"/>
    <w:rsid w:val="00F41EB3"/>
    <w:rsid w:val="00F47F22"/>
    <w:rsid w:val="00F51BD8"/>
    <w:rsid w:val="00F525AA"/>
    <w:rsid w:val="00F554E8"/>
    <w:rsid w:val="00F73FAB"/>
    <w:rsid w:val="00F9568D"/>
    <w:rsid w:val="00F97D75"/>
    <w:rsid w:val="00FA02B1"/>
    <w:rsid w:val="00FA0D84"/>
    <w:rsid w:val="00FB5ADB"/>
    <w:rsid w:val="00FC3C94"/>
    <w:rsid w:val="00FC613F"/>
    <w:rsid w:val="00FD2A5D"/>
    <w:rsid w:val="00FD2C90"/>
    <w:rsid w:val="00FE4F98"/>
    <w:rsid w:val="00FE5BF0"/>
    <w:rsid w:val="00FF2D8B"/>
    <w:rsid w:val="054344DF"/>
    <w:rsid w:val="18FC0214"/>
    <w:rsid w:val="1A372F38"/>
    <w:rsid w:val="33421462"/>
    <w:rsid w:val="33431765"/>
    <w:rsid w:val="49317AD8"/>
    <w:rsid w:val="4B8717EA"/>
    <w:rsid w:val="55990CE5"/>
    <w:rsid w:val="648A6E86"/>
  </w:rsids>
  <m:mathPr>
    <m:mathFont m:val="Cambria Math"/>
    <m:brkBin m:val="before"/>
    <m:brkBinSub m:val="--"/>
    <m:smallFrac m:val="0"/>
    <m:dispDef/>
    <m:lMargin m:val="0"/>
    <m:rMargin m:val="0"/>
    <m:defJc m:val="centerGroup"/>
    <m:wrapIndent m:val="1440"/>
    <m:intLim m:val="subSup"/>
    <m:naryLim m:val="undOvr"/>
  </m:mathPr>
  <w:themeFontLang w:val="es-ES_tradnl"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4B695F"/>
  <w15:docId w15:val="{FE996A42-CD03-4C4D-B6B3-10AF5D588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cs="Times New Roman"/>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basedOn w:val="Normal"/>
    <w:qFormat/>
    <w:pPr>
      <w:suppressLineNumbers/>
      <w:spacing w:before="120" w:after="120"/>
    </w:pPr>
    <w:rPr>
      <w:rFonts w:cs="Arial"/>
      <w:i/>
      <w:iCs/>
    </w:rPr>
  </w:style>
  <w:style w:type="paragraph" w:styleId="Encabezado">
    <w:name w:val="header"/>
    <w:basedOn w:val="Normal"/>
    <w:link w:val="EncabezadoCar"/>
    <w:uiPriority w:val="99"/>
    <w:unhideWhenUsed/>
    <w:qFormat/>
    <w:pPr>
      <w:tabs>
        <w:tab w:val="center" w:pos="4252"/>
        <w:tab w:val="right" w:pos="8504"/>
      </w:tabs>
    </w:pPr>
  </w:style>
  <w:style w:type="paragraph" w:styleId="Lista">
    <w:name w:val="List"/>
    <w:basedOn w:val="Textoindependiente"/>
    <w:qFormat/>
    <w:rPr>
      <w:rFonts w:cs="Arial"/>
    </w:rPr>
  </w:style>
  <w:style w:type="paragraph" w:styleId="Textoindependiente">
    <w:name w:val="Body Text"/>
    <w:basedOn w:val="Normal"/>
    <w:qFormat/>
    <w:pPr>
      <w:spacing w:after="140" w:line="276" w:lineRule="auto"/>
    </w:pPr>
  </w:style>
  <w:style w:type="paragraph" w:styleId="NormalWeb">
    <w:name w:val="Normal (Web)"/>
    <w:basedOn w:val="Normal"/>
    <w:uiPriority w:val="99"/>
    <w:unhideWhenUsed/>
    <w:qFormat/>
    <w:pPr>
      <w:spacing w:beforeAutospacing="1" w:afterAutospacing="1"/>
    </w:pPr>
    <w:rPr>
      <w:rFonts w:ascii="Times New Roman" w:eastAsia="Times New Roman" w:hAnsi="Times New Roman"/>
    </w:rPr>
  </w:style>
  <w:style w:type="paragraph" w:styleId="Piedepgina">
    <w:name w:val="footer"/>
    <w:basedOn w:val="Normal"/>
    <w:link w:val="PiedepginaCar"/>
    <w:autoRedefine/>
    <w:uiPriority w:val="99"/>
    <w:unhideWhenUsed/>
    <w:qFormat/>
    <w:pPr>
      <w:tabs>
        <w:tab w:val="center" w:pos="4252"/>
        <w:tab w:val="right" w:pos="8504"/>
      </w:tabs>
    </w:pPr>
  </w:style>
  <w:style w:type="paragraph" w:styleId="Subttulo">
    <w:name w:val="Subtitle"/>
    <w:basedOn w:val="Normal"/>
    <w:next w:val="Normal"/>
    <w:link w:val="SubttuloCar"/>
    <w:autoRedefine/>
    <w:uiPriority w:val="11"/>
    <w:qFormat/>
    <w:pPr>
      <w:spacing w:after="160"/>
    </w:pPr>
    <w:rPr>
      <w:rFonts w:eastAsia="Times New Roman"/>
      <w:color w:val="5A5A5A"/>
      <w:spacing w:val="15"/>
      <w:sz w:val="22"/>
      <w:szCs w:val="22"/>
      <w:lang w:val="zh-CN" w:eastAsia="zh-CN"/>
    </w:rPr>
  </w:style>
  <w:style w:type="character" w:customStyle="1" w:styleId="EncabezadoCar">
    <w:name w:val="Encabezado Car"/>
    <w:basedOn w:val="Fuentedeprrafopredeter"/>
    <w:link w:val="Encabezado"/>
    <w:uiPriority w:val="99"/>
    <w:qFormat/>
    <w:rPr>
      <w:rFonts w:ascii="Calibri" w:eastAsia="Calibri" w:hAnsi="Calibri" w:cs="Times New Roman"/>
    </w:rPr>
  </w:style>
  <w:style w:type="character" w:customStyle="1" w:styleId="PiedepginaCar">
    <w:name w:val="Pie de página Car"/>
    <w:basedOn w:val="Fuentedeprrafopredeter"/>
    <w:link w:val="Piedepgina"/>
    <w:uiPriority w:val="99"/>
    <w:qFormat/>
    <w:rPr>
      <w:rFonts w:ascii="Calibri" w:eastAsia="Calibri" w:hAnsi="Calibri" w:cs="Times New Roman"/>
    </w:rPr>
  </w:style>
  <w:style w:type="character" w:customStyle="1" w:styleId="SubttuloCar">
    <w:name w:val="Subtítulo Car"/>
    <w:basedOn w:val="Fuentedeprrafopredeter"/>
    <w:link w:val="Subttulo"/>
    <w:uiPriority w:val="11"/>
    <w:qFormat/>
    <w:rPr>
      <w:rFonts w:ascii="Calibri" w:eastAsia="Times New Roman" w:hAnsi="Calibri" w:cs="Times New Roman"/>
      <w:color w:val="5A5A5A"/>
      <w:spacing w:val="15"/>
      <w:sz w:val="22"/>
      <w:szCs w:val="22"/>
      <w:lang w:val="zh-CN" w:eastAsia="zh-CN"/>
    </w:rPr>
  </w:style>
  <w:style w:type="character" w:customStyle="1" w:styleId="apple-converted-space">
    <w:name w:val="apple-converted-space"/>
    <w:basedOn w:val="Fuentedeprrafopredeter"/>
    <w:qFormat/>
  </w:style>
  <w:style w:type="paragraph" w:customStyle="1" w:styleId="Ttulo1">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Prrafodelista">
    <w:name w:val="List Paragraph"/>
    <w:basedOn w:val="Normal"/>
    <w:autoRedefine/>
    <w:uiPriority w:val="34"/>
    <w:qFormat/>
    <w:pPr>
      <w:ind w:left="720"/>
      <w:contextualSpacing/>
    </w:pPr>
  </w:style>
  <w:style w:type="paragraph" w:customStyle="1" w:styleId="s2">
    <w:name w:val="s2"/>
    <w:basedOn w:val="Normal"/>
    <w:autoRedefine/>
    <w:qFormat/>
    <w:pPr>
      <w:spacing w:beforeAutospacing="1" w:afterAutospacing="1"/>
    </w:pPr>
    <w:rPr>
      <w:rFonts w:ascii="Times New Roman" w:eastAsiaTheme="minorEastAsia" w:hAnsi="Times New Roman"/>
      <w:lang w:eastAsia="es-ES"/>
    </w:rPr>
  </w:style>
  <w:style w:type="paragraph" w:customStyle="1" w:styleId="Contenidodelmarco">
    <w:name w:val="Contenido del marco"/>
    <w:basedOn w:val="Normal"/>
    <w:autoRedefine/>
    <w:qFormat/>
  </w:style>
  <w:style w:type="character" w:styleId="Hipervnculo">
    <w:name w:val="Hyperlink"/>
    <w:basedOn w:val="Fuentedeprrafopredeter"/>
    <w:uiPriority w:val="99"/>
    <w:unhideWhenUsed/>
    <w:rsid w:val="00E7340B"/>
    <w:rPr>
      <w:color w:val="0563C1" w:themeColor="hyperlink"/>
      <w:u w:val="single"/>
    </w:rPr>
  </w:style>
  <w:style w:type="character" w:styleId="Mencinsinresolver">
    <w:name w:val="Unresolved Mention"/>
    <w:basedOn w:val="Fuentedeprrafopredeter"/>
    <w:uiPriority w:val="99"/>
    <w:semiHidden/>
    <w:unhideWhenUsed/>
    <w:rsid w:val="00E73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504943">
      <w:bodyDiv w:val="1"/>
      <w:marLeft w:val="0"/>
      <w:marRight w:val="0"/>
      <w:marTop w:val="0"/>
      <w:marBottom w:val="0"/>
      <w:divBdr>
        <w:top w:val="none" w:sz="0" w:space="0" w:color="auto"/>
        <w:left w:val="none" w:sz="0" w:space="0" w:color="auto"/>
        <w:bottom w:val="none" w:sz="0" w:space="0" w:color="auto"/>
        <w:right w:val="none" w:sz="0" w:space="0" w:color="auto"/>
      </w:divBdr>
    </w:div>
    <w:div w:id="1118597655">
      <w:bodyDiv w:val="1"/>
      <w:marLeft w:val="0"/>
      <w:marRight w:val="0"/>
      <w:marTop w:val="0"/>
      <w:marBottom w:val="0"/>
      <w:divBdr>
        <w:top w:val="none" w:sz="0" w:space="0" w:color="auto"/>
        <w:left w:val="none" w:sz="0" w:space="0" w:color="auto"/>
        <w:bottom w:val="none" w:sz="0" w:space="0" w:color="auto"/>
        <w:right w:val="none" w:sz="0" w:space="0" w:color="auto"/>
      </w:divBdr>
      <w:divsChild>
        <w:div w:id="6970017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0675275">
      <w:bodyDiv w:val="1"/>
      <w:marLeft w:val="0"/>
      <w:marRight w:val="0"/>
      <w:marTop w:val="0"/>
      <w:marBottom w:val="0"/>
      <w:divBdr>
        <w:top w:val="none" w:sz="0" w:space="0" w:color="auto"/>
        <w:left w:val="none" w:sz="0" w:space="0" w:color="auto"/>
        <w:bottom w:val="none" w:sz="0" w:space="0" w:color="auto"/>
        <w:right w:val="none" w:sz="0" w:space="0" w:color="auto"/>
      </w:divBdr>
      <w:divsChild>
        <w:div w:id="474146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8698576">
      <w:bodyDiv w:val="1"/>
      <w:marLeft w:val="0"/>
      <w:marRight w:val="0"/>
      <w:marTop w:val="0"/>
      <w:marBottom w:val="0"/>
      <w:divBdr>
        <w:top w:val="none" w:sz="0" w:space="0" w:color="auto"/>
        <w:left w:val="none" w:sz="0" w:space="0" w:color="auto"/>
        <w:bottom w:val="none" w:sz="0" w:space="0" w:color="auto"/>
        <w:right w:val="none" w:sz="0" w:space="0" w:color="auto"/>
      </w:divBdr>
      <w:divsChild>
        <w:div w:id="14246911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9129757">
      <w:bodyDiv w:val="1"/>
      <w:marLeft w:val="0"/>
      <w:marRight w:val="0"/>
      <w:marTop w:val="0"/>
      <w:marBottom w:val="0"/>
      <w:divBdr>
        <w:top w:val="none" w:sz="0" w:space="0" w:color="auto"/>
        <w:left w:val="none" w:sz="0" w:space="0" w:color="auto"/>
        <w:bottom w:val="none" w:sz="0" w:space="0" w:color="auto"/>
        <w:right w:val="none" w:sz="0" w:space="0" w:color="auto"/>
      </w:divBdr>
      <w:divsChild>
        <w:div w:id="746652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563</Words>
  <Characters>3212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 Galarza López</dc:creator>
  <cp:lastModifiedBy>Sergio Rodriguez</cp:lastModifiedBy>
  <cp:revision>2</cp:revision>
  <dcterms:created xsi:type="dcterms:W3CDTF">2026-05-15T09:28:00Z</dcterms:created>
  <dcterms:modified xsi:type="dcterms:W3CDTF">2026-05-15T09:28:00Z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3082-12.2.0.19805</vt:lpwstr>
  </property>
  <property fmtid="{D5CDD505-2E9C-101B-9397-08002B2CF9AE}" pid="3" name="ICV">
    <vt:lpwstr>A7AB4E86E7F44E13AC064E48878487EE_12</vt:lpwstr>
  </property>
</Properties>
</file>